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jc w:val="left"/>
        <w:rPr/>
      </w:pPr>
      <w:r>
        <w:rPr>
          <w:rFonts w:ascii="Titillium Web;sans-serif" w:hAnsi="Titillium Web;sans-serif"/>
          <w:b w:val="false"/>
          <w:i w:val="false"/>
          <w:caps w:val="false"/>
          <w:smallCaps w:val="false"/>
          <w:color w:val="222222"/>
          <w:spacing w:val="0"/>
          <w:sz w:val="22"/>
        </w:rPr>
        <w:t>Per costi contabilizzati dei servizi erogati, da pubblicare ai sensi dell'art. 32, c. 2 lett. a), del d. lgs. n. 33 del 2013, si intende il valore monetario delle risorse direttamente e indirettamente impiegate per l'erogazione di ciascun servizio. La legge n. 190/2012, articolo 1, comma 15 prevede che le informazioni sui costi sono pubblicate sulla base di uno schema tipo redatto dall'Autorità per la vigilanza dei contratti pubblici di lavori, servizi e forniture (ora ANAC).</w:t>
      </w: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tillium Web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LibreOffice/6.1.6.3$Windows_X86_64 LibreOffice_project/5896ab1714085361c45cf540f76f60673dd96a72</Application>
  <Pages>1</Pages>
  <Words>76</Words>
  <Characters>405</Characters>
  <CharactersWithSpaces>481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2020-07-09T14:44:10Z</dcterms:created>
  <dc:creator/>
  <dc:description/>
  <dc:language>it-IT</dc:language>
  <cp:lastModifiedBy/>
  <dcterms:modified xsi:type="dcterms:W3CDTF">2020-07-09T14:44:40Z</dcterms:modified>
  <cp:revision>1</cp:revision>
  <dc:subject/>
  <dc:title/>
</cp:coreProperties>
</file>